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10"/>
        </w:tabs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105.1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describes the treatment of income received by households with boarders as defined in Section 100.4 (Boarders) of this Supplemental Nutrition Assistance Program (SNAP) manual.  </w:t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30" w:hanging="63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105.2 General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Income received by households with boarders in both commercial and non-commercial board situations is considered self-employment income.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Persons residing in a commercial boarding house (establishments licensed as an enterprise that offers meals and lodging for compensation) are considered boarders regardless of the compensation they pay.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Persons residing in a non-commercial boarding house are considered boarders if they pay reasonable monthly compensation for their meals and lodging as described in Section 100.4 of this manual.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  <w:tab w:val="left" w:leader="none" w:pos="1890"/>
        </w:tabs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105.3 Income from Boarders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numPr>
          <w:ilvl w:val="0"/>
          <w:numId w:val="6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Exclude persons who are boarders as defined in Section 100.4 of this manual when determining the household’s eligibility and benefit level.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2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Include as income all direct payments to the household for room and meals, including contributions to the household’s shelter expenses. 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2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Do not count shelter expenses paid directly by boarders to someone outside the household as income to the household. </w:t>
      </w:r>
    </w:p>
    <w:p w:rsidR="00000000" w:rsidDel="00000000" w:rsidP="00000000" w:rsidRDefault="00000000" w:rsidRPr="00000000" w14:paraId="00000011">
      <w:pPr>
        <w:pStyle w:val="Heading3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Example 1: A boarder pays $20.00 a month to the household for the heating bill.  This amount is counted as income to the household.</w:t>
      </w:r>
    </w:p>
    <w:p w:rsidR="00000000" w:rsidDel="00000000" w:rsidP="00000000" w:rsidRDefault="00000000" w:rsidRPr="00000000" w14:paraId="00000012">
      <w:pPr>
        <w:pStyle w:val="Heading3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Example 2: A boarder pays the telephone bill for the household directly to the phone company.  The amount of the payment is not counted as income to the household.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105.4 Allowable Costs of Doing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Exclude the portion of the boarder payment that is a cost-to-do business when determining the income received from boarders.</w:t>
      </w:r>
    </w:p>
    <w:p w:rsidR="00000000" w:rsidDel="00000000" w:rsidP="00000000" w:rsidRDefault="00000000" w:rsidRPr="00000000" w14:paraId="00000017">
      <w:pPr>
        <w:ind w:left="108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amount allowed as the cost-to-do business is 50% of the proprietor’s gross monthly receipts received from boarders.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105.5 </w:t>
        <w:tab/>
        <w:t xml:space="preserve">Computing Income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3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Net monthly self-employment income from boarders is determined by:</w:t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4"/>
        </w:numPr>
        <w:ind w:left="108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Adding together all direct payments to the household by the boarders and then,</w:t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4"/>
        </w:numPr>
        <w:ind w:left="108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Applying the 50 percent (cost-to-produce) deduction. </w:t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6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Add the result of this computation (net income from self-employment) to other earned income, if any, and apply a 20 percent earned income deduction to the total.</w:t>
      </w:r>
    </w:p>
    <w:p w:rsidR="00000000" w:rsidDel="00000000" w:rsidP="00000000" w:rsidRDefault="00000000" w:rsidRPr="00000000" w14:paraId="0000001F">
      <w:pPr>
        <w:pStyle w:val="Heading2"/>
        <w:numPr>
          <w:ilvl w:val="0"/>
          <w:numId w:val="6"/>
        </w:numPr>
        <w:ind w:left="720" w:hanging="360"/>
        <w:rPr>
          <w:b w:val="0"/>
          <w:i w:val="0"/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0"/>
        </w:rPr>
        <w:t xml:space="preserve">Compute the shelter costs the household actually incurs (even if the boarder contributes directly to the household for shelter expenses) to determine if the household will receive a shelter deduction.</w:t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JULY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46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328"/>
      <w:gridCol w:w="1800"/>
      <w:gridCol w:w="2340"/>
      <w:tblGridChange w:id="0">
        <w:tblGrid>
          <w:gridCol w:w="5328"/>
          <w:gridCol w:w="1800"/>
          <w:gridCol w:w="2340"/>
        </w:tblGrid>
      </w:tblGridChange>
    </w:tblGrid>
    <w:tr>
      <w:trPr>
        <w:cantSplit w:val="1"/>
        <w:trHeight w:val="857.929687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DEPARTMENT OF HUMAN SERVICES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FAMILY INVESTMENT ADMINISTRATION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24">
          <w:pPr>
            <w:rPr>
              <w:rFonts w:ascii="Arial" w:cs="Arial" w:eastAsia="Arial" w:hAnsi="Arial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vertAlign w:val="baseline"/>
              <w:rtl w:val="0"/>
            </w:rPr>
            <w:t xml:space="preserve">SUPPLEMENTAL NUTRITION ASSISTANCE PROGRAM (SNAP) MANUAL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HOUSEHOLDS WITH BOARDERS</w:t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Section 105</w:t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Page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upperLetter"/>
      <w:lvlText w:val="%1."/>
      <w:lvlJc w:val="left"/>
      <w:pPr>
        <w:ind w:left="63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440" w:hanging="1440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160" w:hanging="216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2880" w:hanging="2880"/>
    </w:pPr>
    <w:rPr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3600" w:hanging="3600"/>
    </w:pPr>
    <w:rPr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3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hAnsi="Arial"/>
      <w:b w:val="1"/>
      <w:i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144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9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aLAh/zGDz+wKskFN8bWZ4yoEg==">CgMxLjA4AGoyChRzdWdnZXN0Lm00NTVxZm9mdjR2dRIaQ2hhbnRlbGxlIFRob21hcyAtREhTLSBTU0NyITFpSmZJcVBoLW1YOTBnekktMGNRNTM5Z19vbVFKUU1jWA==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2020-08-16T16:15:00Z</dcterms:created>
  <dc:creator>Office of Policy and Research</dc:creator>
</cp:coreProperties>
</file>