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State Council on Child Abuse and Neglect (SCCAN)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November 6, 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1:00 P.M. – 3:00 P.M.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Members in Attendance: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Dr. Rebecca Seltzer - Johns Hopkins School of Medicine - Maryland AAP Representative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Lindsay Carpenter - Maryland State’s Attorney Association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Erica LeMon - Maryland Legal Aid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McGinnis - Maryland Department of Education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 Weah- New Shiloh Baptist Church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Members Not in Attendance: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Rowan Powell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Anthony Muse - Maryland State Senate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Karla Smith - Maryland Courts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Taniesha Woods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Jody Burghardt - JSSA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Stacey Brown - The Family Tree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Jamie Sheppard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Remonte Greene- Department of Human Services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Kelly Jascowitz - Maryland State Police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Delegate Susan McComas - House of Delegates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Sonia Chessen- Maryland Department of Health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Ademola (Moses) Oduyebo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Guests: 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Crystal Young- CRBC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Eileen King- Child Justice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Dr. Susan Dos Rios - University of Maryland School of Pharmacy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Richard Lichtenstein- DHS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Nikari Hynes- MDH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highlight w:val="white"/>
            <w:u w:val="single"/>
            <w:rtl w:val="0"/>
          </w:rPr>
          <w:t xml:space="preserve">Vanessa Milio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Independent Consult working with 211 on EFC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Diana Philip- CPMC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Kyla Pendleton- Maryland Family Network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Beatrice Brathwaite- MDH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</w:t>
        <w:tab/>
        <w:t xml:space="preserve">Welcome and Introductions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called to order at 1:05 p.m.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  <w:tab/>
        <w:t xml:space="preserve">Potential Legislation in 2026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"Know Before They Knock," addresses notice requirements for child abuse investigations.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Proposed changes for Child Custody Evaluators include specific qualifications and training.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Expanding on CPS background checks.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color w:val="1f1f1f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Expanding ID access for children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Workgroup Updates: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CJAC-  Grants have been awarded to six grantees.  Work is being done to form a training alliance with other agencies who may need to do training.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Healthcare- Rich Lichtenstein:  Continuing to meet and address data concerns.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Achieving Racial Equity- Ted Gallo:  Active involvement appears to be minimal.  A survey has been sent out to members who have become disengaged.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Essentials for Childhood:  Vanessa Milio:  Continues to be SCCAN’s primary prevention workgroup.  Next meeting is in December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Pediatric Overstays:  First meetings have taken place.  Five smaller groups have been formed and are meeting.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55555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55555"/>
          <w:sz w:val="24"/>
          <w:szCs w:val="24"/>
          <w:rtl w:val="0"/>
        </w:rPr>
        <w:t xml:space="preserve">Membership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firstLine="0"/>
        <w:rPr>
          <w:rFonts w:ascii="Times New Roman" w:cs="Times New Roman" w:eastAsia="Times New Roman" w:hAnsi="Times New Roman"/>
          <w:color w:val="55555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rtl w:val="0"/>
        </w:rPr>
        <w:t xml:space="preserve">Three vacancies remain.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55555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55555"/>
          <w:sz w:val="24"/>
          <w:szCs w:val="24"/>
          <w:rtl w:val="0"/>
        </w:rPr>
        <w:t xml:space="preserve">Partner Updates: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55555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  <w:rtl w:val="0"/>
        </w:rPr>
        <w:t xml:space="preserve">Maryland Legal Aid has a clinic in Howard County to help seniors write a will.  Attorneys are needed.</w:t>
      </w:r>
    </w:p>
    <w:p w:rsidR="00000000" w:rsidDel="00000000" w:rsidP="00000000" w:rsidRDefault="00000000" w:rsidRPr="00000000" w14:paraId="0000003E">
      <w:pPr>
        <w:spacing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ken.balti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