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-386079</wp:posOffset>
            </wp:positionH>
            <wp:positionV relativeFrom="paragraph">
              <wp:posOffset>-314324</wp:posOffset>
            </wp:positionV>
            <wp:extent cx="1493520" cy="11430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MARYLAND LEGAL SERVICES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Annual Training Verification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_____ CINA/TPR ______ APS/APGRB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Name of Firm/Organization:  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 certify that __________________________ attended the following trainings: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 xml:space="preserve">(Name of Attorney)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8.0" w:type="dxa"/>
        <w:jc w:val="left"/>
        <w:tblInd w:w="-11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8"/>
        <w:gridCol w:w="2790"/>
        <w:gridCol w:w="1996"/>
        <w:gridCol w:w="1204"/>
        <w:gridCol w:w="2020"/>
        <w:gridCol w:w="1350"/>
        <w:tblGridChange w:id="0">
          <w:tblGrid>
            <w:gridCol w:w="1458"/>
            <w:gridCol w:w="2790"/>
            <w:gridCol w:w="1996"/>
            <w:gridCol w:w="1204"/>
            <w:gridCol w:w="2020"/>
            <w:gridCol w:w="1350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(MM/DD/YY)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Name of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Host of Training &amp;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Link, if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# of Hours Approved by MLSP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Live Training (LT)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Webinar (W) Replay Video (RV)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Certificate of Completion Attached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“Use upload Template”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“Use upload Template”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“Use upload Template”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“Use upload Template”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“Use upload Template”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“Use upload Template”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Total Hours: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 understand that all attorneys representing children and indigent adults under the Department of Human Services (DHS) legal services contracts are required to have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hours of continuing legal education and training annually according to the provision of representation under the Contract.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 also understand that training must be pre-approved by the MLSP Director prior to the date of the training per the Continuing Legal Education pursuant to Section 2.2.1 and 2.2.2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,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RFP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 If the training is not pre-approved by the MLSP Director, the training hours will not count towards the annual training requirements. 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Project Manager’s Signature: ________________________________________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Project Manager Name: _____________________________________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Date Signed: ______________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 certify that the above information is true and accurate to the best of my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Attorney’s Signature: ____________________________________________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Attorney Name: ________________________________________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Date Signed: ______________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Last Revised:  8-13-24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OS/MLSP-25-500-S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ATTACHMENT II </w: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FfF4SV9miWqFO54zI90B2sK+Q==">CgMxLjA4AHIhMUp2VEUzQjFzUENNRzVCNFdhRGFDZjRZUjQ4LTdWYzVT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2024-08-13T23:40:00Z</dcterms:created>
  <dc:creator>sstell</dc:creator>
</cp:coreProperties>
</file>