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9672" w14:textId="77777777" w:rsidR="006F1458" w:rsidRPr="00EE3919" w:rsidRDefault="006F1458" w:rsidP="006F1458">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0" w:name="_Toc494369975"/>
      <w:r w:rsidRPr="00EE3919">
        <w:rPr>
          <w:rFonts w:ascii="Times New (W1)" w:hAnsi="Times New (W1)"/>
          <w:b/>
          <w:bCs/>
        </w:rPr>
        <w:t xml:space="preserve">ATTACHMENT </w:t>
      </w:r>
      <w:r w:rsidR="003B1B82">
        <w:rPr>
          <w:rFonts w:ascii="Times New (W1)" w:hAnsi="Times New (W1)"/>
          <w:b/>
          <w:bCs/>
        </w:rPr>
        <w:t>I</w:t>
      </w:r>
      <w:r>
        <w:rPr>
          <w:rFonts w:ascii="Times New (W1)" w:hAnsi="Times New (W1)"/>
          <w:b/>
          <w:bCs/>
        </w:rPr>
        <w:t xml:space="preserve"> – ANNUAL AUDIT REPORT REQUIREMENTS</w:t>
      </w:r>
      <w:bookmarkEnd w:id="0"/>
    </w:p>
    <w:p w14:paraId="331741DF" w14:textId="77777777" w:rsidR="006F1458" w:rsidRDefault="006F1458" w:rsidP="006F1458">
      <w:pPr>
        <w:rPr>
          <w:b/>
          <w:sz w:val="28"/>
        </w:rPr>
      </w:pPr>
    </w:p>
    <w:p w14:paraId="1E46D32B" w14:textId="77777777" w:rsidR="006F1458" w:rsidRPr="00356CE6" w:rsidRDefault="006F1458" w:rsidP="006F1458">
      <w:pPr>
        <w:autoSpaceDE w:val="0"/>
        <w:autoSpaceDN w:val="0"/>
        <w:adjustRightInd w:val="0"/>
        <w:ind w:left="1"/>
        <w:jc w:val="center"/>
        <w:rPr>
          <w:b/>
        </w:rPr>
      </w:pPr>
      <w:r w:rsidRPr="00356CE6">
        <w:rPr>
          <w:b/>
        </w:rPr>
        <w:t>ANNUAL AUDIT REPORT REQUIREMENTS</w:t>
      </w:r>
    </w:p>
    <w:p w14:paraId="1E1FD338" w14:textId="77777777" w:rsidR="006F1458" w:rsidRPr="00356CE6" w:rsidRDefault="006F1458" w:rsidP="006F1458">
      <w:pPr>
        <w:autoSpaceDE w:val="0"/>
        <w:autoSpaceDN w:val="0"/>
        <w:adjustRightInd w:val="0"/>
        <w:ind w:left="1"/>
      </w:pPr>
    </w:p>
    <w:p w14:paraId="45F6C078" w14:textId="77777777" w:rsidR="006F1458" w:rsidRPr="00356CE6" w:rsidRDefault="006F1458" w:rsidP="006F1458">
      <w:pPr>
        <w:autoSpaceDE w:val="0"/>
        <w:autoSpaceDN w:val="0"/>
        <w:adjustRightInd w:val="0"/>
        <w:ind w:left="1"/>
      </w:pPr>
    </w:p>
    <w:p w14:paraId="26428D1E" w14:textId="77777777" w:rsidR="006F1458" w:rsidRPr="00356CE6" w:rsidRDefault="006F1458" w:rsidP="006F1458">
      <w:pPr>
        <w:autoSpaceDE w:val="0"/>
        <w:autoSpaceDN w:val="0"/>
        <w:adjustRightInd w:val="0"/>
        <w:ind w:left="1"/>
      </w:pPr>
      <w:r w:rsidRPr="00356CE6">
        <w:t>The audit submitted must be expanded to include procedures that give assurances of program integrity, compliance with applicable laws and regulations, and the propriety of use of funds.  It must contain all of the following:</w:t>
      </w:r>
    </w:p>
    <w:p w14:paraId="622C8359" w14:textId="77777777" w:rsidR="006F1458" w:rsidRPr="00356CE6" w:rsidRDefault="006F1458" w:rsidP="006F1458">
      <w:pPr>
        <w:autoSpaceDE w:val="0"/>
        <w:autoSpaceDN w:val="0"/>
        <w:adjustRightInd w:val="0"/>
        <w:ind w:left="1"/>
      </w:pPr>
    </w:p>
    <w:p w14:paraId="60B7EA29" w14:textId="77777777" w:rsidR="006F1458" w:rsidRPr="00356CE6" w:rsidRDefault="006F1458" w:rsidP="006F1458">
      <w:pPr>
        <w:numPr>
          <w:ilvl w:val="0"/>
          <w:numId w:val="1"/>
        </w:numPr>
        <w:autoSpaceDE w:val="0"/>
        <w:autoSpaceDN w:val="0"/>
        <w:adjustRightInd w:val="0"/>
        <w:spacing w:after="200" w:line="276" w:lineRule="auto"/>
        <w:contextualSpacing/>
      </w:pPr>
      <w:r w:rsidRPr="00356CE6">
        <w:t>Statement that the Generally Accepted Accounting Principles and the Generally Accepted Auditing Standards established by the American Institute of Certified Public Accountants was followed.</w:t>
      </w:r>
    </w:p>
    <w:p w14:paraId="0A9F1844" w14:textId="77777777" w:rsidR="006F1458" w:rsidRPr="00356CE6" w:rsidRDefault="006F1458" w:rsidP="006F1458">
      <w:pPr>
        <w:numPr>
          <w:ilvl w:val="0"/>
          <w:numId w:val="1"/>
        </w:numPr>
        <w:autoSpaceDE w:val="0"/>
        <w:autoSpaceDN w:val="0"/>
        <w:adjustRightInd w:val="0"/>
        <w:spacing w:after="200" w:line="276" w:lineRule="auto"/>
        <w:contextualSpacing/>
      </w:pPr>
      <w:r w:rsidRPr="00356CE6">
        <w:t>Opinion Statement on Financial Statements.</w:t>
      </w:r>
    </w:p>
    <w:p w14:paraId="1472955D" w14:textId="77777777" w:rsidR="006F1458" w:rsidRPr="00356CE6" w:rsidRDefault="006F1458" w:rsidP="006F1458">
      <w:pPr>
        <w:numPr>
          <w:ilvl w:val="0"/>
          <w:numId w:val="1"/>
        </w:numPr>
        <w:autoSpaceDE w:val="0"/>
        <w:autoSpaceDN w:val="0"/>
        <w:adjustRightInd w:val="0"/>
        <w:spacing w:after="200" w:line="276" w:lineRule="auto"/>
        <w:contextualSpacing/>
      </w:pPr>
      <w:r w:rsidRPr="00356CE6">
        <w:t>Report on Compliance.</w:t>
      </w:r>
    </w:p>
    <w:p w14:paraId="0AD8CE28" w14:textId="77777777" w:rsidR="006F1458" w:rsidRPr="00356CE6" w:rsidRDefault="006F1458" w:rsidP="006F1458">
      <w:pPr>
        <w:numPr>
          <w:ilvl w:val="0"/>
          <w:numId w:val="1"/>
        </w:numPr>
        <w:autoSpaceDE w:val="0"/>
        <w:autoSpaceDN w:val="0"/>
        <w:adjustRightInd w:val="0"/>
        <w:spacing w:after="200" w:line="276" w:lineRule="auto"/>
        <w:contextualSpacing/>
      </w:pPr>
      <w:r w:rsidRPr="00356CE6">
        <w:t>Comments on Prior Audit findings and completion of Corrective Actions, if applicable.</w:t>
      </w:r>
    </w:p>
    <w:p w14:paraId="3A697EF1" w14:textId="77777777" w:rsidR="006F1458" w:rsidRPr="00356CE6" w:rsidRDefault="006F1458" w:rsidP="006F1458">
      <w:pPr>
        <w:numPr>
          <w:ilvl w:val="0"/>
          <w:numId w:val="1"/>
        </w:numPr>
        <w:autoSpaceDE w:val="0"/>
        <w:autoSpaceDN w:val="0"/>
        <w:adjustRightInd w:val="0"/>
        <w:spacing w:after="200" w:line="276" w:lineRule="auto"/>
        <w:contextualSpacing/>
      </w:pPr>
      <w:r w:rsidRPr="00356CE6">
        <w:t>Financial Statements</w:t>
      </w:r>
    </w:p>
    <w:p w14:paraId="7C37B60B" w14:textId="77777777" w:rsidR="006F1458" w:rsidRPr="00356CE6" w:rsidRDefault="006F1458" w:rsidP="006F1458">
      <w:pPr>
        <w:autoSpaceDE w:val="0"/>
        <w:autoSpaceDN w:val="0"/>
        <w:adjustRightInd w:val="0"/>
        <w:ind w:left="1" w:firstLine="719"/>
      </w:pPr>
      <w:r w:rsidRPr="00356CE6">
        <w:t>1.</w:t>
      </w:r>
      <w:r w:rsidRPr="00356CE6">
        <w:tab/>
        <w:t>Balance Sheet,</w:t>
      </w:r>
    </w:p>
    <w:p w14:paraId="004FC3AE" w14:textId="77777777" w:rsidR="006F1458" w:rsidRPr="00356CE6" w:rsidRDefault="006F1458" w:rsidP="006F1458">
      <w:pPr>
        <w:autoSpaceDE w:val="0"/>
        <w:autoSpaceDN w:val="0"/>
        <w:adjustRightInd w:val="0"/>
        <w:ind w:left="1" w:firstLine="719"/>
      </w:pPr>
      <w:r w:rsidRPr="00356CE6">
        <w:t>2.</w:t>
      </w:r>
      <w:r w:rsidRPr="00356CE6">
        <w:tab/>
        <w:t>Statement of Revenue and Expense, and</w:t>
      </w:r>
    </w:p>
    <w:p w14:paraId="0F128B1C" w14:textId="77777777" w:rsidR="006F1458" w:rsidRPr="00356CE6" w:rsidRDefault="006F1458" w:rsidP="006F1458">
      <w:pPr>
        <w:autoSpaceDE w:val="0"/>
        <w:autoSpaceDN w:val="0"/>
        <w:adjustRightInd w:val="0"/>
        <w:ind w:left="1" w:firstLine="719"/>
      </w:pPr>
      <w:r w:rsidRPr="00356CE6">
        <w:t>3.</w:t>
      </w:r>
      <w:r w:rsidRPr="00356CE6">
        <w:tab/>
        <w:t>Functional Distribution of Expenses</w:t>
      </w:r>
    </w:p>
    <w:p w14:paraId="556F5AAF" w14:textId="77777777" w:rsidR="006F1458" w:rsidRPr="00356CE6" w:rsidRDefault="006F1458" w:rsidP="006F1458">
      <w:pPr>
        <w:autoSpaceDE w:val="0"/>
        <w:autoSpaceDN w:val="0"/>
        <w:adjustRightInd w:val="0"/>
        <w:ind w:left="721" w:firstLine="719"/>
      </w:pPr>
      <w:r w:rsidRPr="00356CE6">
        <w:t>a.</w:t>
      </w:r>
      <w:r w:rsidRPr="00356CE6">
        <w:tab/>
        <w:t>Basic Care</w:t>
      </w:r>
    </w:p>
    <w:p w14:paraId="2BF6C58C" w14:textId="77777777" w:rsidR="006F1458" w:rsidRPr="00356CE6" w:rsidRDefault="006F1458" w:rsidP="006F1458">
      <w:pPr>
        <w:autoSpaceDE w:val="0"/>
        <w:autoSpaceDN w:val="0"/>
        <w:adjustRightInd w:val="0"/>
        <w:ind w:left="721" w:firstLine="719"/>
      </w:pPr>
      <w:r w:rsidRPr="00356CE6">
        <w:t>b.</w:t>
      </w:r>
      <w:r w:rsidRPr="00356CE6">
        <w:tab/>
        <w:t>Special Education</w:t>
      </w:r>
    </w:p>
    <w:p w14:paraId="35054CF9" w14:textId="77777777" w:rsidR="006F1458" w:rsidRPr="00356CE6" w:rsidRDefault="006F1458" w:rsidP="006F1458">
      <w:pPr>
        <w:autoSpaceDE w:val="0"/>
        <w:autoSpaceDN w:val="0"/>
        <w:adjustRightInd w:val="0"/>
        <w:ind w:left="721" w:firstLine="719"/>
      </w:pPr>
      <w:r w:rsidRPr="00356CE6">
        <w:t>c.</w:t>
      </w:r>
      <w:r w:rsidRPr="00356CE6">
        <w:tab/>
        <w:t>Management and General</w:t>
      </w:r>
    </w:p>
    <w:p w14:paraId="2766C061" w14:textId="77777777" w:rsidR="006F1458" w:rsidRPr="00356CE6" w:rsidRDefault="006F1458" w:rsidP="006F1458">
      <w:pPr>
        <w:autoSpaceDE w:val="0"/>
        <w:autoSpaceDN w:val="0"/>
        <w:adjustRightInd w:val="0"/>
        <w:ind w:left="1"/>
      </w:pPr>
    </w:p>
    <w:p w14:paraId="2BEF0D80" w14:textId="77777777" w:rsidR="006F1458" w:rsidRPr="00356CE6" w:rsidRDefault="006F1458" w:rsidP="006F1458">
      <w:pPr>
        <w:autoSpaceDE w:val="0"/>
        <w:autoSpaceDN w:val="0"/>
        <w:adjustRightInd w:val="0"/>
        <w:ind w:left="1" w:firstLine="719"/>
      </w:pPr>
      <w:r w:rsidRPr="00356CE6">
        <w:t>Other Schedules</w:t>
      </w:r>
    </w:p>
    <w:p w14:paraId="0CE5AD30" w14:textId="77777777" w:rsidR="006F1458" w:rsidRPr="00356CE6" w:rsidRDefault="006F1458" w:rsidP="006F1458">
      <w:pPr>
        <w:autoSpaceDE w:val="0"/>
        <w:autoSpaceDN w:val="0"/>
        <w:adjustRightInd w:val="0"/>
        <w:ind w:left="1"/>
      </w:pPr>
    </w:p>
    <w:p w14:paraId="6231BB10" w14:textId="77777777" w:rsidR="006F1458" w:rsidRPr="00356CE6" w:rsidRDefault="006F1458" w:rsidP="006F1458">
      <w:pPr>
        <w:autoSpaceDE w:val="0"/>
        <w:autoSpaceDN w:val="0"/>
        <w:adjustRightInd w:val="0"/>
        <w:ind w:left="1" w:firstLine="719"/>
      </w:pPr>
      <w:r w:rsidRPr="00356CE6">
        <w:t>1.</w:t>
      </w:r>
      <w:r w:rsidRPr="00356CE6">
        <w:tab/>
        <w:t>Identification of the specific sources of funds received;</w:t>
      </w:r>
    </w:p>
    <w:p w14:paraId="28E25099" w14:textId="77777777" w:rsidR="006F1458" w:rsidRPr="00356CE6" w:rsidRDefault="006F1458" w:rsidP="006F1458">
      <w:pPr>
        <w:autoSpaceDE w:val="0"/>
        <w:autoSpaceDN w:val="0"/>
        <w:adjustRightInd w:val="0"/>
        <w:ind w:left="1" w:firstLine="719"/>
      </w:pPr>
      <w:r w:rsidRPr="00356CE6">
        <w:t>2.</w:t>
      </w:r>
      <w:r w:rsidRPr="00356CE6">
        <w:tab/>
        <w:t>Comparison of budgeted expenses to actual expenses;</w:t>
      </w:r>
    </w:p>
    <w:p w14:paraId="0D3AB3C2" w14:textId="77777777" w:rsidR="006F1458" w:rsidRPr="00356CE6" w:rsidRDefault="006F1458" w:rsidP="006F1458">
      <w:pPr>
        <w:autoSpaceDE w:val="0"/>
        <w:autoSpaceDN w:val="0"/>
        <w:adjustRightInd w:val="0"/>
        <w:ind w:left="1" w:firstLine="719"/>
      </w:pPr>
      <w:r w:rsidRPr="00356CE6">
        <w:t>3.</w:t>
      </w:r>
      <w:r w:rsidRPr="00356CE6">
        <w:tab/>
        <w:t>Computation of rate determination for actual cost of care per month;</w:t>
      </w:r>
    </w:p>
    <w:p w14:paraId="200ED978" w14:textId="77777777" w:rsidR="006F1458" w:rsidRPr="00356CE6" w:rsidRDefault="006F1458" w:rsidP="006F1458">
      <w:pPr>
        <w:autoSpaceDE w:val="0"/>
        <w:autoSpaceDN w:val="0"/>
        <w:adjustRightInd w:val="0"/>
        <w:ind w:left="1" w:firstLine="719"/>
      </w:pPr>
      <w:r w:rsidRPr="00356CE6">
        <w:t>4.</w:t>
      </w:r>
      <w:r w:rsidRPr="00356CE6">
        <w:tab/>
        <w:t>Comparison of payment rate to actual rate from 3; and</w:t>
      </w:r>
    </w:p>
    <w:p w14:paraId="74B988B6" w14:textId="77777777" w:rsidR="006F1458" w:rsidRPr="00356CE6" w:rsidRDefault="006F1458" w:rsidP="006F1458">
      <w:pPr>
        <w:autoSpaceDE w:val="0"/>
        <w:autoSpaceDN w:val="0"/>
        <w:adjustRightInd w:val="0"/>
        <w:ind w:left="1" w:firstLine="719"/>
      </w:pPr>
      <w:r w:rsidRPr="00356CE6">
        <w:t>5.</w:t>
      </w:r>
      <w:r w:rsidRPr="00356CE6">
        <w:tab/>
        <w:t>Determination of overpayment and underpayment per service function.</w:t>
      </w:r>
    </w:p>
    <w:p w14:paraId="0CBEB032" w14:textId="77777777" w:rsidR="006F1458" w:rsidRPr="00356CE6" w:rsidRDefault="006F1458" w:rsidP="006F1458">
      <w:pPr>
        <w:autoSpaceDE w:val="0"/>
        <w:autoSpaceDN w:val="0"/>
        <w:adjustRightInd w:val="0"/>
        <w:ind w:left="1"/>
      </w:pPr>
    </w:p>
    <w:p w14:paraId="0A7A2E3B" w14:textId="77777777" w:rsidR="006F1458" w:rsidRPr="00356CE6" w:rsidRDefault="006F1458" w:rsidP="006F1458">
      <w:pPr>
        <w:autoSpaceDE w:val="0"/>
        <w:autoSpaceDN w:val="0"/>
        <w:adjustRightInd w:val="0"/>
        <w:ind w:left="1"/>
      </w:pPr>
      <w:r w:rsidRPr="00356CE6">
        <w:t>For Contractors having more than one contract with SSA, discrete Financial Statements and Other Schedules must be provided for each contract, i.e., there must be an audit of each entity as well as a separate accounting for each SSA- funded program.  Contractor having contracts with other units of DH</w:t>
      </w:r>
      <w:r>
        <w:t>S</w:t>
      </w:r>
      <w:r w:rsidRPr="00356CE6">
        <w:t xml:space="preserve"> or other Executive Departments of the State of Maryland, other States, Federal sources, etc., must list each source of revenue, amount of contract, services provided, etc., separately.</w:t>
      </w:r>
    </w:p>
    <w:p w14:paraId="0C4C4C87" w14:textId="77777777" w:rsidR="006F1458" w:rsidRPr="00356CE6" w:rsidRDefault="006F1458" w:rsidP="006F1458">
      <w:pPr>
        <w:autoSpaceDE w:val="0"/>
        <w:autoSpaceDN w:val="0"/>
        <w:adjustRightInd w:val="0"/>
        <w:ind w:left="1"/>
      </w:pPr>
    </w:p>
    <w:p w14:paraId="66208845" w14:textId="631E0BFF" w:rsidR="006F1458" w:rsidRDefault="006F1458" w:rsidP="006F1458">
      <w:r w:rsidRPr="00356CE6">
        <w:t xml:space="preserve">The annual audit report of the Contractor’s financial records must be submitted from an independent certified public accountant to the Social Services Administration, Office of Budget and Central Services, </w:t>
      </w:r>
      <w:r w:rsidR="00345F3C">
        <w:t>25 Charles</w:t>
      </w:r>
      <w:r w:rsidRPr="00356CE6">
        <w:t xml:space="preserve"> Street, </w:t>
      </w:r>
      <w:r w:rsidR="00345F3C">
        <w:t>11</w:t>
      </w:r>
      <w:r w:rsidRPr="00356CE6">
        <w:t>th Floor, Baltimore, MD  21201, Attn: SSA Administrative Specialist and the Office of the Inspector General, 100 S. Charles Street, Room 1608, Baltimore, MD 21201 in the format specified by December 2, 20</w:t>
      </w:r>
      <w:r w:rsidR="00345F3C">
        <w:t>XX</w:t>
      </w:r>
      <w:r w:rsidRPr="00356CE6">
        <w:t xml:space="preserve">  Submission of this report to</w:t>
      </w:r>
      <w:r w:rsidRPr="00356CE6">
        <w:rPr>
          <w:rFonts w:ascii="Tahoma" w:hAnsi="Tahoma" w:cs="Tahoma"/>
        </w:rPr>
        <w:t xml:space="preserve"> </w:t>
      </w:r>
      <w:r w:rsidRPr="00356CE6">
        <w:t>another party does not fulfill this requirement</w:t>
      </w:r>
      <w:r>
        <w:t>.</w:t>
      </w:r>
    </w:p>
    <w:p w14:paraId="0918A5DF" w14:textId="77777777" w:rsidR="00EB0108" w:rsidRDefault="00EB0108" w:rsidP="006F1458"/>
    <w:sectPr w:rsidR="00EB0108" w:rsidSect="00EB01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AC79" w14:textId="77777777" w:rsidR="00365DDB" w:rsidRDefault="00365DDB" w:rsidP="006706F1">
      <w:r>
        <w:separator/>
      </w:r>
    </w:p>
  </w:endnote>
  <w:endnote w:type="continuationSeparator" w:id="0">
    <w:p w14:paraId="1A22E963" w14:textId="77777777" w:rsidR="00365DDB" w:rsidRDefault="00365DDB" w:rsidP="0067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C3BB" w14:textId="77777777" w:rsidR="00365DDB" w:rsidRDefault="00365DDB" w:rsidP="006706F1">
      <w:r>
        <w:separator/>
      </w:r>
    </w:p>
  </w:footnote>
  <w:footnote w:type="continuationSeparator" w:id="0">
    <w:p w14:paraId="04365209" w14:textId="77777777" w:rsidR="00365DDB" w:rsidRDefault="00365DDB" w:rsidP="0067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A366" w14:textId="149F81FD" w:rsidR="006706F1" w:rsidRPr="006706F1" w:rsidRDefault="006706F1">
    <w:pPr>
      <w:pStyle w:val="Header"/>
      <w:rPr>
        <w:b/>
        <w:bCs/>
      </w:rPr>
    </w:pPr>
    <w:r>
      <w:tab/>
      <w:t xml:space="preserve">                                                                                                                          </w:t>
    </w:r>
    <w:r w:rsidRPr="006706F1">
      <w:rPr>
        <w:b/>
        <w:bCs/>
      </w:rPr>
      <w:t>SSA/CPA-</w:t>
    </w:r>
    <w:r w:rsidR="0008713F">
      <w:rPr>
        <w:b/>
        <w:bCs/>
      </w:rPr>
      <w:t>26</w:t>
    </w:r>
    <w:r w:rsidRPr="006706F1">
      <w:rPr>
        <w:b/>
        <w:bCs/>
      </w:rPr>
      <w:t>-</w:t>
    </w:r>
    <w:r w:rsidR="00345F3C">
      <w:rPr>
        <w:b/>
        <w:bCs/>
      </w:rPr>
      <w:t>XXX</w:t>
    </w:r>
    <w:r w:rsidRPr="006706F1">
      <w:rPr>
        <w:b/>
        <w:bCs/>
      </w:rPr>
      <w:tab/>
    </w:r>
    <w:r w:rsidRPr="006706F1">
      <w:rPr>
        <w:b/>
        <w:bCs/>
      </w:rPr>
      <w:tab/>
    </w:r>
    <w:r w:rsidRPr="006706F1">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59AC"/>
    <w:multiLevelType w:val="hybridMultilevel"/>
    <w:tmpl w:val="7220AE8C"/>
    <w:lvl w:ilvl="0" w:tplc="9E105978">
      <w:numFmt w:val="bullet"/>
      <w:lvlText w:val=""/>
      <w:lvlJc w:val="left"/>
      <w:pPr>
        <w:ind w:left="721" w:hanging="720"/>
      </w:pPr>
      <w:rPr>
        <w:rFonts w:ascii="Symbol" w:eastAsia="Calibri" w:hAnsi="Symbol" w:cs="Tahoma" w:hint="default"/>
      </w:rPr>
    </w:lvl>
    <w:lvl w:ilvl="1" w:tplc="E2BA9466" w:tentative="1">
      <w:start w:val="1"/>
      <w:numFmt w:val="bullet"/>
      <w:lvlText w:val="o"/>
      <w:lvlJc w:val="left"/>
      <w:pPr>
        <w:ind w:left="1081" w:hanging="360"/>
      </w:pPr>
      <w:rPr>
        <w:rFonts w:ascii="Courier New" w:hAnsi="Courier New" w:cs="Courier New" w:hint="default"/>
      </w:rPr>
    </w:lvl>
    <w:lvl w:ilvl="2" w:tplc="7C787C50" w:tentative="1">
      <w:start w:val="1"/>
      <w:numFmt w:val="bullet"/>
      <w:lvlText w:val=""/>
      <w:lvlJc w:val="left"/>
      <w:pPr>
        <w:ind w:left="1801" w:hanging="360"/>
      </w:pPr>
      <w:rPr>
        <w:rFonts w:ascii="Wingdings" w:hAnsi="Wingdings" w:hint="default"/>
      </w:rPr>
    </w:lvl>
    <w:lvl w:ilvl="3" w:tplc="698ED6FC" w:tentative="1">
      <w:start w:val="1"/>
      <w:numFmt w:val="bullet"/>
      <w:lvlText w:val=""/>
      <w:lvlJc w:val="left"/>
      <w:pPr>
        <w:ind w:left="2521" w:hanging="360"/>
      </w:pPr>
      <w:rPr>
        <w:rFonts w:ascii="Symbol" w:hAnsi="Symbol" w:hint="default"/>
      </w:rPr>
    </w:lvl>
    <w:lvl w:ilvl="4" w:tplc="129E8A8E" w:tentative="1">
      <w:start w:val="1"/>
      <w:numFmt w:val="bullet"/>
      <w:lvlText w:val="o"/>
      <w:lvlJc w:val="left"/>
      <w:pPr>
        <w:ind w:left="3241" w:hanging="360"/>
      </w:pPr>
      <w:rPr>
        <w:rFonts w:ascii="Courier New" w:hAnsi="Courier New" w:cs="Courier New" w:hint="default"/>
      </w:rPr>
    </w:lvl>
    <w:lvl w:ilvl="5" w:tplc="FD462528" w:tentative="1">
      <w:start w:val="1"/>
      <w:numFmt w:val="bullet"/>
      <w:lvlText w:val=""/>
      <w:lvlJc w:val="left"/>
      <w:pPr>
        <w:ind w:left="3961" w:hanging="360"/>
      </w:pPr>
      <w:rPr>
        <w:rFonts w:ascii="Wingdings" w:hAnsi="Wingdings" w:hint="default"/>
      </w:rPr>
    </w:lvl>
    <w:lvl w:ilvl="6" w:tplc="DC984320" w:tentative="1">
      <w:start w:val="1"/>
      <w:numFmt w:val="bullet"/>
      <w:lvlText w:val=""/>
      <w:lvlJc w:val="left"/>
      <w:pPr>
        <w:ind w:left="4681" w:hanging="360"/>
      </w:pPr>
      <w:rPr>
        <w:rFonts w:ascii="Symbol" w:hAnsi="Symbol" w:hint="default"/>
      </w:rPr>
    </w:lvl>
    <w:lvl w:ilvl="7" w:tplc="8F9E3198" w:tentative="1">
      <w:start w:val="1"/>
      <w:numFmt w:val="bullet"/>
      <w:lvlText w:val="o"/>
      <w:lvlJc w:val="left"/>
      <w:pPr>
        <w:ind w:left="5401" w:hanging="360"/>
      </w:pPr>
      <w:rPr>
        <w:rFonts w:ascii="Courier New" w:hAnsi="Courier New" w:cs="Courier New" w:hint="default"/>
      </w:rPr>
    </w:lvl>
    <w:lvl w:ilvl="8" w:tplc="01989E84" w:tentative="1">
      <w:start w:val="1"/>
      <w:numFmt w:val="bullet"/>
      <w:lvlText w:val=""/>
      <w:lvlJc w:val="left"/>
      <w:pPr>
        <w:ind w:left="6121" w:hanging="360"/>
      </w:pPr>
      <w:rPr>
        <w:rFonts w:ascii="Wingdings" w:hAnsi="Wingdings" w:hint="default"/>
      </w:rPr>
    </w:lvl>
  </w:abstractNum>
  <w:num w:numId="1" w16cid:durableId="11286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58"/>
    <w:rsid w:val="00054FCA"/>
    <w:rsid w:val="000648BC"/>
    <w:rsid w:val="0008713F"/>
    <w:rsid w:val="0010023C"/>
    <w:rsid w:val="001F3117"/>
    <w:rsid w:val="00294F07"/>
    <w:rsid w:val="00345F3C"/>
    <w:rsid w:val="00365DDB"/>
    <w:rsid w:val="003B1B82"/>
    <w:rsid w:val="004216E3"/>
    <w:rsid w:val="00474656"/>
    <w:rsid w:val="00484D80"/>
    <w:rsid w:val="004F15D6"/>
    <w:rsid w:val="005D59A9"/>
    <w:rsid w:val="006706F1"/>
    <w:rsid w:val="006C365B"/>
    <w:rsid w:val="006F1458"/>
    <w:rsid w:val="0077194C"/>
    <w:rsid w:val="00826BAA"/>
    <w:rsid w:val="008C63DD"/>
    <w:rsid w:val="0093211F"/>
    <w:rsid w:val="00997300"/>
    <w:rsid w:val="00C602C6"/>
    <w:rsid w:val="00D30E6B"/>
    <w:rsid w:val="00EB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721D"/>
  <w15:docId w15:val="{97B39453-B11F-460F-80DC-EAF5C410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145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6F1"/>
    <w:pPr>
      <w:tabs>
        <w:tab w:val="center" w:pos="4680"/>
        <w:tab w:val="right" w:pos="9360"/>
      </w:tabs>
    </w:pPr>
  </w:style>
  <w:style w:type="character" w:customStyle="1" w:styleId="HeaderChar">
    <w:name w:val="Header Char"/>
    <w:basedOn w:val="DefaultParagraphFont"/>
    <w:link w:val="Header"/>
    <w:uiPriority w:val="99"/>
    <w:rsid w:val="006706F1"/>
    <w:rPr>
      <w:rFonts w:ascii="Times New Roman" w:eastAsia="Calibri" w:hAnsi="Times New Roman" w:cs="Times New Roman"/>
      <w:sz w:val="24"/>
    </w:rPr>
  </w:style>
  <w:style w:type="paragraph" w:styleId="Footer">
    <w:name w:val="footer"/>
    <w:basedOn w:val="Normal"/>
    <w:link w:val="FooterChar"/>
    <w:uiPriority w:val="99"/>
    <w:unhideWhenUsed/>
    <w:rsid w:val="006706F1"/>
    <w:pPr>
      <w:tabs>
        <w:tab w:val="center" w:pos="4680"/>
        <w:tab w:val="right" w:pos="9360"/>
      </w:tabs>
    </w:pPr>
  </w:style>
  <w:style w:type="character" w:customStyle="1" w:styleId="FooterChar">
    <w:name w:val="Footer Char"/>
    <w:basedOn w:val="DefaultParagraphFont"/>
    <w:link w:val="Footer"/>
    <w:uiPriority w:val="99"/>
    <w:rsid w:val="006706F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Tennille Thomas</cp:lastModifiedBy>
  <cp:revision>2</cp:revision>
  <cp:lastPrinted>2020-01-22T18:28:00Z</cp:lastPrinted>
  <dcterms:created xsi:type="dcterms:W3CDTF">2025-06-06T01:02:00Z</dcterms:created>
  <dcterms:modified xsi:type="dcterms:W3CDTF">2025-06-06T01:02:00Z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c48e5d4ecb8611f705284b192cfff7a20a6a95b7458d21d8f2cc33503a738c57</vt:lpwstr>
  </property>
</Properties>
</file>